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A1A17"/>
          <w:sz w:val="56"/>
        </w:rPr>
        <w:t>VALIDATION MASTER PLAN</w:t>
      </w:r>
    </w:p>
    <w:p>
      <w:pPr>
        <w:jc w:val="center"/>
      </w:pPr>
      <w:r>
        <w:rPr>
          <w:color w:val="6B6A63"/>
          <w:sz w:val="26"/>
        </w:rPr>
        <w:t>[Company Name]   |   [Site / Scope]</w:t>
      </w:r>
    </w:p>
    <w:p/>
    <w:tbl>
      <w:tblPr>
        <w:tblStyle w:val="TableGrid"/>
        <w:tblW w:type="auto" w:w="0"/>
        <w:jc w:val="center"/>
        <w:tblLook w:firstColumn="1" w:firstRow="1" w:lastColumn="0" w:lastRow="0" w:noHBand="0" w:noVBand="1" w:val="04A0"/>
      </w:tblPr>
      <w:tblGrid>
        <w:gridCol w:w="4320"/>
        <w:gridCol w:w="4320"/>
      </w:tblGrid>
      <w:tr>
        <w:tc>
          <w:tcPr>
            <w:tcW w:type="dxa" w:w="4320"/>
            <w:shd w:val="clear" w:color="auto" w:fill="F2F1EC"/>
          </w:tcPr>
          <w:p>
            <w:r>
              <w:rPr>
                <w:b/>
              </w:rPr>
              <w:t>Document Number</w:t>
            </w:r>
          </w:p>
        </w:tc>
        <w:tc>
          <w:tcPr>
            <w:tcW w:type="dxa" w:w="4320"/>
          </w:tcPr>
          <w:p>
            <w:r>
              <w:t>[VMP-XXX]</w:t>
            </w:r>
          </w:p>
        </w:tc>
      </w:tr>
      <w:tr>
        <w:tc>
          <w:tcPr>
            <w:tcW w:type="dxa" w:w="4320"/>
            <w:shd w:val="clear" w:color="auto" w:fill="F2F1EC"/>
          </w:tcPr>
          <w:p>
            <w:r>
              <w:rPr>
                <w:b/>
              </w:rPr>
              <w:t>Version</w:t>
            </w:r>
          </w:p>
        </w:tc>
        <w:tc>
          <w:tcPr>
            <w:tcW w:type="dxa" w:w="4320"/>
          </w:tcPr>
          <w:p>
            <w:r>
              <w:t>[1.0]</w:t>
            </w:r>
          </w:p>
        </w:tc>
      </w:tr>
      <w:tr>
        <w:tc>
          <w:tcPr>
            <w:tcW w:type="dxa" w:w="4320"/>
            <w:shd w:val="clear" w:color="auto" w:fill="F2F1EC"/>
          </w:tcPr>
          <w:p>
            <w:r>
              <w:rPr>
                <w:b/>
              </w:rPr>
              <w:t>Effective Date</w:t>
            </w:r>
          </w:p>
        </w:tc>
        <w:tc>
          <w:tcPr>
            <w:tcW w:type="dxa" w:w="4320"/>
          </w:tcPr>
          <w:p>
            <w:r>
              <w:t>[YYYY-MM-DD]</w:t>
            </w:r>
          </w:p>
        </w:tc>
      </w:tr>
      <w:tr>
        <w:tc>
          <w:tcPr>
            <w:tcW w:type="dxa" w:w="4320"/>
            <w:shd w:val="clear" w:color="auto" w:fill="F2F1EC"/>
          </w:tcPr>
          <w:p>
            <w:r>
              <w:rPr>
                <w:b/>
              </w:rPr>
              <w:t>Supersedes</w:t>
            </w:r>
          </w:p>
        </w:tc>
        <w:tc>
          <w:tcPr>
            <w:tcW w:type="dxa" w:w="4320"/>
          </w:tcPr>
          <w:p>
            <w:r>
              <w:t>[N/A or prior version]</w:t>
            </w:r>
          </w:p>
        </w:tc>
      </w:tr>
      <w:tr>
        <w:tc>
          <w:tcPr>
            <w:tcW w:type="dxa" w:w="4320"/>
            <w:shd w:val="clear" w:color="auto" w:fill="F2F1EC"/>
          </w:tcPr>
          <w:p>
            <w:r>
              <w:rPr>
                <w:b/>
              </w:rPr>
              <w:t>Document Owner</w:t>
            </w:r>
          </w:p>
        </w:tc>
        <w:tc>
          <w:tcPr>
            <w:tcW w:type="dxa" w:w="4320"/>
          </w:tcPr>
          <w:p>
            <w:r>
              <w:t>[Function, e.g. Quality Assurance]</w:t>
            </w:r>
          </w:p>
        </w:tc>
      </w:tr>
      <w:tr>
        <w:tc>
          <w:tcPr>
            <w:tcW w:type="dxa" w:w="4320"/>
            <w:shd w:val="clear" w:color="auto" w:fill="F2F1EC"/>
          </w:tcPr>
          <w:p>
            <w:r>
              <w:rPr>
                <w:b/>
              </w:rPr>
              <w:t>Status</w:t>
            </w:r>
          </w:p>
        </w:tc>
        <w:tc>
          <w:tcPr>
            <w:tcW w:type="dxa" w:w="4320"/>
          </w:tcPr>
          <w:p>
            <w:r>
              <w:t>[Draft / Approved]</w:t>
            </w:r>
          </w:p>
        </w:tc>
      </w:tr>
    </w:tbl>
    <w:p/>
    <w:p>
      <w:r>
        <w:rPr>
          <w:b/>
          <w:color w:val="1A7A5C"/>
          <w:sz w:val="24"/>
        </w:rPr>
        <w:t>Approval and Signatures</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color="auto" w:fill="1A7A5C"/>
          </w:tcPr>
          <w:p>
            <w:r>
              <w:rPr>
                <w:b/>
                <w:color w:val="FFFFFF"/>
              </w:rPr>
              <w:t>Role</w:t>
            </w:r>
          </w:p>
        </w:tc>
        <w:tc>
          <w:tcPr>
            <w:tcW w:type="dxa" w:w="2160"/>
            <w:shd w:val="clear" w:color="auto" w:fill="1A7A5C"/>
          </w:tcPr>
          <w:p>
            <w:r>
              <w:rPr>
                <w:b/>
                <w:color w:val="FFFFFF"/>
              </w:rPr>
              <w:t>Name / Function</w:t>
            </w:r>
          </w:p>
        </w:tc>
        <w:tc>
          <w:tcPr>
            <w:tcW w:type="dxa" w:w="2160"/>
            <w:shd w:val="clear" w:color="auto" w:fill="1A7A5C"/>
          </w:tcPr>
          <w:p>
            <w:r>
              <w:rPr>
                <w:b/>
                <w:color w:val="FFFFFF"/>
              </w:rPr>
              <w:t>Signature</w:t>
            </w:r>
          </w:p>
        </w:tc>
        <w:tc>
          <w:tcPr>
            <w:tcW w:type="dxa" w:w="2160"/>
            <w:shd w:val="clear" w:color="auto" w:fill="1A7A5C"/>
          </w:tcPr>
          <w:p>
            <w:r>
              <w:rPr>
                <w:b/>
                <w:color w:val="FFFFFF"/>
              </w:rPr>
              <w:t>Date</w:t>
            </w:r>
          </w:p>
        </w:tc>
      </w:tr>
      <w:tr>
        <w:tc>
          <w:tcPr>
            <w:tcW w:type="dxa" w:w="2160"/>
          </w:tcPr>
          <w:p>
            <w:r>
              <w:t>Prepared by</w:t>
            </w:r>
          </w:p>
        </w:tc>
        <w:tc>
          <w:tcPr>
            <w:tcW w:type="dxa" w:w="2160"/>
          </w:tcPr>
          <w:p>
            <w:r>
              <w:t>[Validation Engineering]</w:t>
            </w:r>
          </w:p>
        </w:tc>
        <w:tc>
          <w:tcPr>
            <w:tcW w:type="dxa" w:w="2160"/>
          </w:tcPr>
          <w:p/>
        </w:tc>
        <w:tc>
          <w:tcPr>
            <w:tcW w:type="dxa" w:w="2160"/>
          </w:tcPr>
          <w:p/>
        </w:tc>
      </w:tr>
      <w:tr>
        <w:tc>
          <w:tcPr>
            <w:tcW w:type="dxa" w:w="2160"/>
          </w:tcPr>
          <w:p>
            <w:r>
              <w:t>Reviewed by</w:t>
            </w:r>
          </w:p>
        </w:tc>
        <w:tc>
          <w:tcPr>
            <w:tcW w:type="dxa" w:w="2160"/>
          </w:tcPr>
          <w:p>
            <w:r>
              <w:t>[Quality Assurance]</w:t>
            </w:r>
          </w:p>
        </w:tc>
        <w:tc>
          <w:tcPr>
            <w:tcW w:type="dxa" w:w="2160"/>
          </w:tcPr>
          <w:p/>
        </w:tc>
        <w:tc>
          <w:tcPr>
            <w:tcW w:type="dxa" w:w="2160"/>
          </w:tcPr>
          <w:p/>
        </w:tc>
      </w:tr>
      <w:tr>
        <w:tc>
          <w:tcPr>
            <w:tcW w:type="dxa" w:w="2160"/>
          </w:tcPr>
          <w:p>
            <w:r>
              <w:t>Approved by</w:t>
            </w:r>
          </w:p>
        </w:tc>
        <w:tc>
          <w:tcPr>
            <w:tcW w:type="dxa" w:w="2160"/>
          </w:tcPr>
          <w:p>
            <w:r>
              <w:t>[Operations]</w:t>
            </w:r>
          </w:p>
        </w:tc>
        <w:tc>
          <w:tcPr>
            <w:tcW w:type="dxa" w:w="2160"/>
          </w:tcPr>
          <w:p/>
        </w:tc>
        <w:tc>
          <w:tcPr>
            <w:tcW w:type="dxa" w:w="2160"/>
          </w:tcPr>
          <w:p/>
        </w:tc>
      </w:tr>
      <w:tr>
        <w:tc>
          <w:tcPr>
            <w:tcW w:type="dxa" w:w="2160"/>
          </w:tcPr>
          <w:p>
            <w:r>
              <w:t>Approved by</w:t>
            </w:r>
          </w:p>
        </w:tc>
        <w:tc>
          <w:tcPr>
            <w:tcW w:type="dxa" w:w="2160"/>
          </w:tcPr>
          <w:p>
            <w:r>
              <w:t>[QA Leadership]</w:t>
            </w:r>
          </w:p>
        </w:tc>
        <w:tc>
          <w:tcPr>
            <w:tcW w:type="dxa" w:w="2160"/>
          </w:tcPr>
          <w:p/>
        </w:tc>
        <w:tc>
          <w:tcPr>
            <w:tcW w:type="dxa" w:w="2160"/>
          </w:tcPr>
          <w:p/>
        </w:tc>
      </w:tr>
    </w:tbl>
    <w:p/>
    <w:p>
      <w:r>
        <w:rPr>
          <w:i/>
          <w:color w:val="6B6A63"/>
          <w:sz w:val="19"/>
        </w:rPr>
        <w:t>How to use this template: replace every bracketed placeholder and the italic guidance notes with content specific to your organization, then delete the guidance notes before issuing the controlled document. A template filled with generic text is the first thing an auditor flags. For the conceptual background, see the Valiqa guide on what a Validation Master Plan is and who owns it.</w:t>
      </w:r>
    </w:p>
    <w:p>
      <w:r>
        <w:br w:type="page"/>
      </w:r>
    </w:p>
    <w:p>
      <w:pPr>
        <w:pStyle w:val="Heading1"/>
      </w:pPr>
      <w:r>
        <w:rPr>
          <w:color w:val="1A7A5C"/>
          <w:sz w:val="30"/>
        </w:rPr>
        <w:t>1. Scope and Applicability</w:t>
      </w:r>
    </w:p>
    <w:p>
      <w:r>
        <w:rPr>
          <w:i/>
          <w:color w:val="6B6A63"/>
          <w:sz w:val="19"/>
        </w:rPr>
        <w:t>Guidance: State what this VMP covers and what it does not. Name the sites, products, processes, and computerized systems governed by this document. Give out-of-scope items a one-sentence reason and a pointer to the document that does cover them.</w:t>
      </w:r>
    </w:p>
    <w:p>
      <w:r>
        <w:rPr>
          <w:color w:val="9A9890"/>
        </w:rPr>
        <w:t>This Validation Master Plan applies to [sites], [product families], [processes], and [computerized systems] at [Company Name]. The following are explicitly out of scope: [list, with a reference to the governing document for each].</w:t>
      </w:r>
    </w:p>
    <w:p/>
    <w:p>
      <w:pPr>
        <w:pStyle w:val="Heading1"/>
      </w:pPr>
      <w:r>
        <w:rPr>
          <w:color w:val="1A7A5C"/>
          <w:sz w:val="30"/>
        </w:rPr>
        <w:t>2. Regulatory Framework and Validation Policy</w:t>
      </w:r>
    </w:p>
    <w:p>
      <w:r>
        <w:rPr>
          <w:i/>
          <w:color w:val="6B6A63"/>
          <w:sz w:val="19"/>
        </w:rPr>
        <w:t>Guidance: List the predicate regulations, consensus standards, and guidance your validation program is built against, with a short statement of your qualification and validation policy. Cite only the set that governs your industry and markets.</w:t>
      </w:r>
    </w:p>
    <w:p>
      <w:r>
        <w:rPr>
          <w:color w:val="9A9890"/>
        </w:rPr>
        <w:t>This program is built against [e.g. 21 CFR Part 820 under the FDA QMSR incorporating ISO 13485:2016 by reference; 21 CFR Part 11; EU GMP Annex 15 and Annex 11; 21 CFR Part 210/211 as applicable]. Validation policy: [Company Name] validates systems and processes on a risk basis proportionate to their impact on product quality, data integrity, and patient safety.</w:t>
      </w:r>
    </w:p>
    <w:p/>
    <w:p>
      <w:pPr>
        <w:pStyle w:val="Heading1"/>
      </w:pPr>
      <w:r>
        <w:rPr>
          <w:color w:val="1A7A5C"/>
          <w:sz w:val="30"/>
        </w:rPr>
        <w:t>3. Validation Strategy, Risk Approach, and Acceptance Criteria Principles</w:t>
      </w:r>
    </w:p>
    <w:p>
      <w:r>
        <w:rPr>
          <w:i/>
          <w:color w:val="6B6A63"/>
          <w:sz w:val="19"/>
        </w:rPr>
        <w:t>Guidance: Describe how you decide what to validate and how much. State that effort is risk-based, name the risk methodology, and set out the principles your protocol acceptance criteria follow. State the rules, not the individual criteria.</w:t>
      </w:r>
    </w:p>
    <w:p>
      <w:r>
        <w:rPr>
          <w:color w:val="9A9890"/>
        </w:rPr>
        <w:t>Validation effort is determined by [risk methodology, e.g. ICH Q9-aligned risk assessment]. Computerized systems are categorized using [GAMP 5] and assured by process risk using [computer software assurance]. Acceptance criteria are derived from [user requirements / process specifications] and follow these principles: [list].</w:t>
      </w:r>
    </w:p>
    <w:p/>
    <w:p>
      <w:pPr>
        <w:pStyle w:val="Heading1"/>
      </w:pPr>
      <w:r>
        <w:rPr>
          <w:color w:val="1A7A5C"/>
          <w:sz w:val="30"/>
        </w:rPr>
        <w:t>4. Inventory, Validation Status Matrix, and Plan Hierarchy</w:t>
      </w:r>
    </w:p>
    <w:p>
      <w:r>
        <w:rPr>
          <w:i/>
          <w:color w:val="6B6A63"/>
          <w:sz w:val="19"/>
        </w:rPr>
        <w:t>Guidance: Provide the list of systems, equipment, processes, and facilities in scope, each with current validation status and a pointer to the governing protocol. Show how the VMP sits above validation plans and protocols. Populate the table below.</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color="auto" w:fill="F2F1EC"/>
          </w:tcPr>
          <w:p>
            <w:r>
              <w:rPr>
                <w:b/>
              </w:rPr>
              <w:t>System / Equipment / Process</w:t>
            </w:r>
          </w:p>
        </w:tc>
        <w:tc>
          <w:tcPr>
            <w:tcW w:type="dxa" w:w="2160"/>
            <w:shd w:val="clear" w:color="auto" w:fill="F2F1EC"/>
          </w:tcPr>
          <w:p>
            <w:r>
              <w:rPr>
                <w:b/>
              </w:rPr>
              <w:t>Type</w:t>
            </w:r>
          </w:p>
        </w:tc>
        <w:tc>
          <w:tcPr>
            <w:tcW w:type="dxa" w:w="2160"/>
            <w:shd w:val="clear" w:color="auto" w:fill="F2F1EC"/>
          </w:tcPr>
          <w:p>
            <w:r>
              <w:rPr>
                <w:b/>
              </w:rPr>
              <w:t>Validation Status</w:t>
            </w:r>
          </w:p>
        </w:tc>
        <w:tc>
          <w:tcPr>
            <w:tcW w:type="dxa" w:w="2160"/>
            <w:shd w:val="clear" w:color="auto" w:fill="F2F1EC"/>
          </w:tcPr>
          <w:p>
            <w:r>
              <w:rPr>
                <w:b/>
              </w:rPr>
              <w:t>Governing Protocol</w:t>
            </w:r>
          </w:p>
        </w:tc>
      </w:tr>
      <w:tr>
        <w:tc>
          <w:tcPr>
            <w:tcW w:type="dxa" w:w="2160"/>
          </w:tcPr>
          <w:p>
            <w:r>
              <w:t>[ ]</w:t>
            </w:r>
          </w:p>
        </w:tc>
        <w:tc>
          <w:tcPr>
            <w:tcW w:type="dxa" w:w="2160"/>
          </w:tcPr>
          <w:p>
            <w:r>
              <w:t>[ ]</w:t>
            </w:r>
          </w:p>
        </w:tc>
        <w:tc>
          <w:tcPr>
            <w:tcW w:type="dxa" w:w="2160"/>
          </w:tcPr>
          <w:p>
            <w:r>
              <w:t>[ ]</w:t>
            </w:r>
          </w:p>
        </w:tc>
        <w:tc>
          <w:tcPr>
            <w:tcW w:type="dxa" w:w="2160"/>
          </w:tcPr>
          <w:p>
            <w:r>
              <w:t>[ ]</w:t>
            </w:r>
          </w:p>
        </w:tc>
      </w:tr>
      <w:tr>
        <w:tc>
          <w:tcPr>
            <w:tcW w:type="dxa" w:w="2160"/>
          </w:tcPr>
          <w:p>
            <w:r>
              <w:t>[ ]</w:t>
            </w:r>
          </w:p>
        </w:tc>
        <w:tc>
          <w:tcPr>
            <w:tcW w:type="dxa" w:w="2160"/>
          </w:tcPr>
          <w:p>
            <w:r>
              <w:t>[ ]</w:t>
            </w:r>
          </w:p>
        </w:tc>
        <w:tc>
          <w:tcPr>
            <w:tcW w:type="dxa" w:w="2160"/>
          </w:tcPr>
          <w:p>
            <w:r>
              <w:t>[ ]</w:t>
            </w:r>
          </w:p>
        </w:tc>
        <w:tc>
          <w:tcPr>
            <w:tcW w:type="dxa" w:w="2160"/>
          </w:tcPr>
          <w:p>
            <w:r>
              <w:t>[ ]</w:t>
            </w:r>
          </w:p>
        </w:tc>
      </w:tr>
      <w:tr>
        <w:tc>
          <w:tcPr>
            <w:tcW w:type="dxa" w:w="2160"/>
          </w:tcPr>
          <w:p>
            <w:r>
              <w:t>[ ]</w:t>
            </w:r>
          </w:p>
        </w:tc>
        <w:tc>
          <w:tcPr>
            <w:tcW w:type="dxa" w:w="2160"/>
          </w:tcPr>
          <w:p>
            <w:r>
              <w:t>[ ]</w:t>
            </w:r>
          </w:p>
        </w:tc>
        <w:tc>
          <w:tcPr>
            <w:tcW w:type="dxa" w:w="2160"/>
          </w:tcPr>
          <w:p>
            <w:r>
              <w:t>[ ]</w:t>
            </w:r>
          </w:p>
        </w:tc>
        <w:tc>
          <w:tcPr>
            <w:tcW w:type="dxa" w:w="2160"/>
          </w:tcPr>
          <w:p>
            <w:r>
              <w:t>[ ]</w:t>
            </w:r>
          </w:p>
        </w:tc>
      </w:tr>
    </w:tbl>
    <w:p/>
    <w:p>
      <w:pPr>
        <w:pStyle w:val="Heading1"/>
      </w:pPr>
      <w:r>
        <w:rPr>
          <w:color w:val="1A7A5C"/>
          <w:sz w:val="30"/>
        </w:rPr>
        <w:t>5. Roles and Responsibilities</w:t>
      </w:r>
    </w:p>
    <w:p>
      <w:r>
        <w:rPr>
          <w:i/>
          <w:color w:val="6B6A63"/>
          <w:sz w:val="19"/>
        </w:rPr>
        <w:t>Guidance: Define who drafts, reviews, approves, executes, and owns the VMP across the validation lifecycle. Name functions, not individuals. State the single accountable owner of the VMP. Populate the table below.</w:t>
      </w:r>
    </w:p>
    <w:tbl>
      <w:tblPr>
        <w:tblStyle w:val="TableGrid"/>
        <w:tblW w:type="auto" w:w="0"/>
        <w:tblLook w:firstColumn="1" w:firstRow="1" w:lastColumn="0" w:lastRow="0" w:noHBand="0" w:noVBand="1" w:val="04A0"/>
      </w:tblPr>
      <w:tblGrid>
        <w:gridCol w:w="4320"/>
        <w:gridCol w:w="4320"/>
      </w:tblGrid>
      <w:tr>
        <w:tc>
          <w:tcPr>
            <w:tcW w:type="dxa" w:w="4320"/>
            <w:shd w:val="clear" w:color="auto" w:fill="F2F1EC"/>
          </w:tcPr>
          <w:p>
            <w:r>
              <w:rPr>
                <w:b/>
              </w:rPr>
              <w:t>Function</w:t>
            </w:r>
          </w:p>
        </w:tc>
        <w:tc>
          <w:tcPr>
            <w:tcW w:type="dxa" w:w="4320"/>
            <w:shd w:val="clear" w:color="auto" w:fill="F2F1EC"/>
          </w:tcPr>
          <w:p>
            <w:r>
              <w:rPr>
                <w:b/>
              </w:rPr>
              <w:t>Validation Responsibility</w:t>
            </w:r>
          </w:p>
        </w:tc>
      </w:tr>
      <w:tr>
        <w:tc>
          <w:tcPr>
            <w:tcW w:type="dxa" w:w="4320"/>
          </w:tcPr>
          <w:p>
            <w:r>
              <w:t>Validation Engineering</w:t>
            </w:r>
          </w:p>
        </w:tc>
        <w:tc>
          <w:tcPr>
            <w:tcW w:type="dxa" w:w="4320"/>
          </w:tcPr>
          <w:p>
            <w:r>
              <w:t>[Define responsibility]</w:t>
            </w:r>
          </w:p>
        </w:tc>
      </w:tr>
      <w:tr>
        <w:tc>
          <w:tcPr>
            <w:tcW w:type="dxa" w:w="4320"/>
          </w:tcPr>
          <w:p>
            <w:r>
              <w:t>Quality Assurance</w:t>
            </w:r>
          </w:p>
        </w:tc>
        <w:tc>
          <w:tcPr>
            <w:tcW w:type="dxa" w:w="4320"/>
          </w:tcPr>
          <w:p>
            <w:r>
              <w:t>[Define responsibility]</w:t>
            </w:r>
          </w:p>
        </w:tc>
      </w:tr>
      <w:tr>
        <w:tc>
          <w:tcPr>
            <w:tcW w:type="dxa" w:w="4320"/>
          </w:tcPr>
          <w:p>
            <w:r>
              <w:t>Operations</w:t>
            </w:r>
          </w:p>
        </w:tc>
        <w:tc>
          <w:tcPr>
            <w:tcW w:type="dxa" w:w="4320"/>
          </w:tcPr>
          <w:p>
            <w:r>
              <w:t>[Define responsibility]</w:t>
            </w:r>
          </w:p>
        </w:tc>
      </w:tr>
      <w:tr>
        <w:tc>
          <w:tcPr>
            <w:tcW w:type="dxa" w:w="4320"/>
          </w:tcPr>
          <w:p>
            <w:r>
              <w:t>VMP Owner (accountable)</w:t>
            </w:r>
          </w:p>
        </w:tc>
        <w:tc>
          <w:tcPr>
            <w:tcW w:type="dxa" w:w="4320"/>
          </w:tcPr>
          <w:p>
            <w:r>
              <w:t>[Define responsibility]</w:t>
            </w:r>
          </w:p>
        </w:tc>
      </w:tr>
    </w:tbl>
    <w:p/>
    <w:p>
      <w:pPr>
        <w:pStyle w:val="Heading1"/>
      </w:pPr>
      <w:r>
        <w:rPr>
          <w:color w:val="1A7A5C"/>
          <w:sz w:val="30"/>
        </w:rPr>
        <w:t>6. Document Types and Templates</w:t>
      </w:r>
    </w:p>
    <w:p>
      <w:r>
        <w:rPr>
          <w:i/>
          <w:color w:val="6B6A63"/>
          <w:sz w:val="19"/>
        </w:rPr>
        <w:t>Guidance: List the document types your program produces (DQ, IQ, OQ, PQ, PPQ, CSV, PV, process protocols, reports, traceability matrix) and point to the template each uses. Keep the VMP an index, not a library.</w:t>
      </w:r>
    </w:p>
    <w:p>
      <w:r>
        <w:rPr>
          <w:color w:val="9A9890"/>
        </w:rPr>
        <w:t>This program produces the following document types, each governed by its referenced template: [DQ - ref], [IQ - ref], [OQ - ref], [PQ - ref], [PPQ - ref], [CSV - ref], [PV - ref], [Reports - ref], [Traceability Matrix - ref].</w:t>
      </w:r>
    </w:p>
    <w:p/>
    <w:p>
      <w:pPr>
        <w:pStyle w:val="Heading1"/>
      </w:pPr>
      <w:r>
        <w:rPr>
          <w:color w:val="1A7A5C"/>
          <w:sz w:val="30"/>
        </w:rPr>
        <w:t>7. Change Control and Revalidation Approach</w:t>
      </w:r>
    </w:p>
    <w:p>
      <w:r>
        <w:rPr>
          <w:i/>
          <w:color w:val="6B6A63"/>
          <w:sz w:val="19"/>
        </w:rPr>
        <w:t>Guidance: State how changes to validated systems are assessed and how you decide when revalidation is required. Make the triggers explicit. Set policy, not the individual assessment.</w:t>
      </w:r>
    </w:p>
    <w:p>
      <w:r>
        <w:rPr>
          <w:color w:val="9A9890"/>
        </w:rPr>
        <w:t>Changes to validated systems are assessed under [change-control procedure ref]. Revalidation is evaluated on these triggers: equipment modification, software or firmware update, process or recipe change, supplier or material change, environmental or utility change, and adverse deviations or trends. The assessment determines the scope of any required requalification.</w:t>
      </w:r>
    </w:p>
    <w:p/>
    <w:p>
      <w:pPr>
        <w:pStyle w:val="Heading1"/>
      </w:pPr>
      <w:r>
        <w:rPr>
          <w:color w:val="1A7A5C"/>
          <w:sz w:val="30"/>
        </w:rPr>
        <w:t>8. Deviation, Nonconformance, and CAPA Approach</w:t>
      </w:r>
    </w:p>
    <w:p>
      <w:r>
        <w:rPr>
          <w:i/>
          <w:color w:val="6B6A63"/>
          <w:sz w:val="19"/>
        </w:rPr>
        <w:t>Guidance: Describe how validation deviations and nonconformances are handled and how they connect to CAPA. Show there is a defined path. Link to quality-system procedures rather than reproducing them.</w:t>
      </w:r>
    </w:p>
    <w:p>
      <w:r>
        <w:rPr>
          <w:color w:val="9A9890"/>
        </w:rPr>
        <w:t>Validation deviations and nonconformances are documented and dispositioned under [procedure ref] and escalated to the CAPA system per [procedure ref] when warranted. [Describe the link to your quality system.]</w:t>
      </w:r>
    </w:p>
    <w:p/>
    <w:p>
      <w:pPr>
        <w:pStyle w:val="Heading1"/>
      </w:pPr>
      <w:r>
        <w:rPr>
          <w:color w:val="1A7A5C"/>
          <w:sz w:val="30"/>
        </w:rPr>
        <w:t>9. Periodic Review and Ongoing Oversight</w:t>
      </w:r>
    </w:p>
    <w:p>
      <w:r>
        <w:rPr>
          <w:i/>
          <w:color w:val="6B6A63"/>
          <w:sz w:val="19"/>
        </w:rPr>
        <w:t>Guidance: State how often the VMP and the validated state are reviewed, who performs the review, and what triggers an off-cycle review. This section proves the VMP is maintained, not shelved.</w:t>
      </w:r>
    </w:p>
    <w:p>
      <w:r>
        <w:rPr>
          <w:color w:val="9A9890"/>
        </w:rPr>
        <w:t>This VMP is reviewed [e.g. annually] and on [significant change triggers]. The review is performed by [function] and documented in the revision history. The validated state of systems in scope is reviewed [cadence] via [mechanism].</w:t>
      </w:r>
    </w:p>
    <w:p/>
    <w:p>
      <w:pPr>
        <w:pStyle w:val="Heading1"/>
      </w:pPr>
      <w:r>
        <w:rPr>
          <w:color w:val="1A7A5C"/>
          <w:sz w:val="30"/>
        </w:rPr>
        <w:t>10. Training and Document Control</w:t>
      </w:r>
    </w:p>
    <w:p>
      <w:r>
        <w:rPr>
          <w:i/>
          <w:color w:val="6B6A63"/>
          <w:sz w:val="19"/>
        </w:rPr>
        <w:t>Guidance: Close with how personnel are trained on the VMP and referenced procedures, and how the VMP is version-controlled, approved, and distributed. This makes the document auditable as a controlled record.</w:t>
      </w:r>
    </w:p>
    <w:p>
      <w:r>
        <w:rPr>
          <w:color w:val="9A9890"/>
        </w:rPr>
        <w:t>Personnel are trained on this VMP and its referenced procedures per [training procedure ref]. This document is controlled under [document-control procedure ref]: revision history, approvals, and effective date are maintained on the title page, and distribution is managed through [system].</w:t>
      </w:r>
    </w:p>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A63"/>
        <w:sz w:val="17"/>
      </w:rPr>
      <w:t>Template provided by Valiqa - AI-powered validation lifecycle platform - valiqa.io</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7"/>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